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02F" w:rsidRPr="00050675" w:rsidP="0005067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 w:rsidRPr="00050675">
        <w:rPr>
          <w:sz w:val="28"/>
          <w:szCs w:val="28"/>
        </w:rPr>
        <w:t>дело № 2-321-1703/2026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 w:rsidRPr="00050675">
        <w:rPr>
          <w:sz w:val="28"/>
          <w:szCs w:val="28"/>
        </w:rPr>
        <w:t>86</w:t>
      </w:r>
      <w:r w:rsidRPr="00050675">
        <w:rPr>
          <w:sz w:val="28"/>
          <w:szCs w:val="28"/>
          <w:lang w:val="en-US"/>
        </w:rPr>
        <w:t>ms</w:t>
      </w:r>
      <w:r w:rsidRPr="00050675">
        <w:rPr>
          <w:sz w:val="28"/>
          <w:szCs w:val="28"/>
        </w:rPr>
        <w:t>0034-01-2026-000489-55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1C102F" w:rsidRPr="00050675" w:rsidP="0005067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 w:rsidRPr="00050675">
        <w:rPr>
          <w:sz w:val="28"/>
          <w:szCs w:val="28"/>
        </w:rPr>
        <w:t>З А О Ч Н О Е   Р Е Ш Е Н И Е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 w:rsidRPr="00050675">
        <w:rPr>
          <w:sz w:val="28"/>
          <w:szCs w:val="28"/>
        </w:rPr>
        <w:t>Именем Российской Федерации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050675">
        <w:rPr>
          <w:sz w:val="28"/>
          <w:szCs w:val="28"/>
        </w:rPr>
        <w:t xml:space="preserve"> «03» </w:t>
      </w:r>
      <w:r w:rsidRPr="00050675">
        <w:rPr>
          <w:sz w:val="28"/>
          <w:szCs w:val="28"/>
        </w:rPr>
        <w:t>апреля  2026</w:t>
      </w:r>
      <w:r w:rsidRPr="00050675"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1C102F" w:rsidRPr="00050675" w:rsidP="0005067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 w:rsidRPr="00050675">
        <w:rPr>
          <w:sz w:val="28"/>
          <w:szCs w:val="28"/>
        </w:rPr>
        <w:t>Мировой  судья</w:t>
      </w:r>
      <w:r w:rsidRPr="00050675"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 w:rsidRPr="00050675">
        <w:rPr>
          <w:sz w:val="28"/>
          <w:szCs w:val="28"/>
        </w:rPr>
        <w:t>при секретаре Макаровой Е.А.,</w:t>
      </w:r>
    </w:p>
    <w:p w:rsidR="001C102F" w:rsidRPr="00050675" w:rsidP="0005067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 w:rsidRPr="00050675">
        <w:rPr>
          <w:sz w:val="28"/>
          <w:szCs w:val="28"/>
        </w:rPr>
        <w:t>рассмотрев в открытом судебном заседании гражданское дело № 2-321-1703/2026 по исковому заявлению Микрокредитной компании «</w:t>
      </w:r>
      <w:r w:rsidRPr="00050675">
        <w:rPr>
          <w:sz w:val="28"/>
          <w:szCs w:val="28"/>
        </w:rPr>
        <w:t>Центр  Финансовой</w:t>
      </w:r>
      <w:r w:rsidRPr="00050675">
        <w:rPr>
          <w:sz w:val="28"/>
          <w:szCs w:val="28"/>
        </w:rPr>
        <w:t xml:space="preserve"> Поддержки» (публичное акционерное общество)  к  Карапетян </w:t>
      </w:r>
      <w:r w:rsidRPr="00050675">
        <w:rPr>
          <w:sz w:val="28"/>
          <w:szCs w:val="28"/>
        </w:rPr>
        <w:t>Гарнику</w:t>
      </w:r>
      <w:r w:rsidRPr="00050675">
        <w:rPr>
          <w:sz w:val="28"/>
          <w:szCs w:val="28"/>
        </w:rPr>
        <w:t xml:space="preserve"> </w:t>
      </w:r>
      <w:r w:rsidRPr="00050675">
        <w:rPr>
          <w:sz w:val="28"/>
          <w:szCs w:val="28"/>
        </w:rPr>
        <w:t>Энзеловичу</w:t>
      </w:r>
      <w:r w:rsidRPr="00050675"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122098" w:rsidP="00050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УСТАНОВИЛ:</w:t>
      </w:r>
    </w:p>
    <w:p w:rsidR="00CF572F" w:rsidRPr="00122098" w:rsidP="00050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D357D" w:rsidRPr="00050675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50675">
        <w:rPr>
          <w:rFonts w:ascii="Times New Roman" w:hAnsi="Times New Roman" w:cs="Times New Roman"/>
          <w:sz w:val="28"/>
          <w:szCs w:val="28"/>
        </w:rPr>
        <w:t>Микрокредитная компания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</w:t>
      </w:r>
      <w:r w:rsidR="00CF572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ентр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</w:t>
      </w:r>
      <w:r w:rsidR="00CF572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инансовой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="00CF572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оддержки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"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ПАО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)  (далее- МКК «ЦФП» (ПАО)) 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обратил</w:t>
      </w:r>
      <w:r w:rsidR="00CF572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сь в суд с иском и просит взыскать с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Карапетян  Г.Э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в пользу 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МКК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"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ЦФП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 (ПАО)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сумму основного долга за период с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08.07.2024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18.05.2025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размере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18990,00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руб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сумму задолженности по уплате процентов за пользование займом за период с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08.07.2024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18.05.2025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размере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24687,00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руб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уплаченную государственную пошлину за рассмотрение дела в суде в размере 4 000 руб.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обоснование заявленных требований указывает, что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22.05.2024 Карапетян Г.Э.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целью получения потребительского займа (микрозайма) заполнил форму Заявления-анкеты, размещённую на сайте МКК "ЦФП" (ПАО) www.vivadengi.ru в сети Интернет. Все документы по договору были подписаны Ответчиком простой электронной подписью путем введения уникального кода, который был направлен Кредитором на личный телефон Ответчика.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После проведения идентификации Ответчика, Кредитор принял решение о выдаче займа, предоставив Ответчику Договор потребительского займа, содержащий Индивидуальные условия договора потребительского займа с информацией о полной стоимости займа; данные об основной сумме займа и процентов за пользование займом, общей сумме выплат по займу; график платежей; данные о сроке возврата потребительского займа, а также Согласие Ответчика на обработку его персональных данных, Соглашение об использовании аналога собственноручной подписи, Общие условия договора потребительского займа в М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"ЦФП" (ПАО), Правила предоставления потребительских займов М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"ЦФП" (ПАО), Информацию об условиях предоставления, использования и возврата потребительского займа в М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"ЦФП" (ПАО).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Таким образом,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22.05.2024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между М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 "ЦФП" (ПАО) и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Карапетян  Г.Э.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был заключён Договор потребительского займа NZ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630943265004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соответствии с условиями, заключённого Договора займа, Кредитор перевел Ответчику денежную сумму в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разме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18990,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рублей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через Систему быстрых платежей  (СБП)  на банковский счет, привязанный  к мобильному телефону  ответчика через  платежного  агента  ПАО «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Транскапиталбанк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».  </w:t>
      </w:r>
      <w:r w:rsidRPr="00122098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"ЦФП" (</w:t>
      </w:r>
      <w:r w:rsidRPr="00122098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ПАО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 в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целях верификации  клиента  в 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Системе быстрых  платежей, направило  платежному агенту   номер телефона  ответчика и ключ банка, который  выбрал ответчик.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После  получения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ответа от  платежного  агента, </w:t>
      </w:r>
      <w:r w:rsidRPr="00122098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"ЦФП" (ПАО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)  провело  сверку   Ф.И.О.  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ответчика  с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данными  указанными   Карапетян  Г.Э. в анкете –заявлении  на  выдачу займа  и одобрило   перевод денежных  средств  Заемщику.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08.07.2024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стороны  пришли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к  Соглашению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 замене обязательства  ответчика  перед  кредитором,  вытекающего  из  договора займа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NZ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630943265004 от 22.05.2024   на другое  обязательство, отраженное в  п.3 Соглашения (новация).</w:t>
      </w:r>
      <w:r w:rsidRPr="00050675" w:rsidR="00E3780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Согласно  условиям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договора  №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NZ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630943265005 от 08.07.2024   ответчик обязуется   вернуть кредитору  сумму займа  в размере 18990,00 рублей и  уплатить  проценты. Соглашение о новации   и договор займа №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NZ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630943265005 от 08.07.2024    подписаны ответчиком простой электронной подписью путем,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направления  СМС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-сообщения  с кодом на  номер телефона,  указанный ответчиком.  Займ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был  предоставлен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ответчику на  следующих услов</w:t>
      </w:r>
      <w:r w:rsidR="00CF572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иях:  годовая процентная ставка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-285,039%,  на срок 180 дней. До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  момента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ответчик обязательства по договору  не  выполнил , полученную  сумму займа  с  процентами  за пользование займом   кредитору не  вернул.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связи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с   ненадлежащим исполнением   обязательств  по договору   кредитором  было  подано заявление  о  выдаче  судебного  приказа о  взыскании задолженности.  Определением  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мирового  судьи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судебного  участка  № 3 Когалымского  судебного  района  от 14.05.2025 судебный приказ  отменен  на  основании  возражений ответчика относительно его  исполнения.  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связи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с нарушением  обязательств по договору №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Z</w:t>
      </w:r>
      <w:r w:rsidRP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630943265005 от 08.07.2024     просит   взыскать  с ответчика   задолженность   в размере 43677 рублей,  расходы на оплату государственной пошлины  в размере 4000,00 рублей.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Представитель истца </w:t>
      </w:r>
      <w:r w:rsidRPr="00122098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</w:t>
      </w:r>
      <w:r w:rsidRPr="00050675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122098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"ЦФП" (</w:t>
      </w:r>
      <w:r w:rsidRPr="00122098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ПАО</w:t>
      </w:r>
      <w:r w:rsidRPr="00050675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)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судебное заседание не явился, о времени и месте судебного заседания извещён надлежащим образом, просил дело рассмотреть в его отсутствие. 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Ответчик </w:t>
      </w:r>
      <w:r w:rsidRPr="00050675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Карапетян  Г.Э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судебное заседание не явился, о времени и месте судебного заседания извещён надлежащим образом, причин неявки суду не сообщил, ходатайств и возражений не представил.</w:t>
      </w:r>
      <w:r w:rsidRPr="00050675" w:rsidR="00ED357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 л.д. 68)</w:t>
      </w:r>
    </w:p>
    <w:p w:rsidR="00122098" w:rsidRPr="00122098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неявкой в судебное заседание ответчика, извещённого о времени и месте судебного заседания, не сообщившего об уважительных причинах неявки и не просившего о рассмотрении дела в его отсутствие, судом вынесено определение о рассмотрении дела в порядке заочного производства.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письменные материалы дела, суд находит исковые требования подлежащими удовлетворению по следующим основаниям.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anchor="/document/10164072/entry/1601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статьи 160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 кодекса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предусмотрено, что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 Двусторонние (многосторонние) сделки могут совершаться способами, установленными </w:t>
      </w:r>
      <w:hyperlink r:id="rId4" w:anchor="/document/10164072/entry/4342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" w:anchor="/document/10164072/entry/4343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статьи 434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 в </w:t>
      </w:r>
      <w:hyperlink r:id="rId4" w:anchor="/document/10164072/entry/1602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п.2 ст. 160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Гражданского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 РФ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установил право участников сделки при их заключении использовать факсимильное воспроизведение подписи с помощью средств механического или иного копирования, электронной подписи либо иного аналога собственноручной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в случаях и в порядке, предусмотренных законом, иными правовыми актами или соглашением сторон.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" w:anchor="/document/10164072/entry/4342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 ст. 434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 кодекса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175160" w:rsidRPr="00050675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 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 материалов  дела </w:t>
      </w:r>
      <w:r w:rsidRPr="008B5623" w:rsidR="00ED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мая 2024  года 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К "ЦФП" (ПАО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 ответчиком Карапетян  Г.Э.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заключён договор займа </w:t>
      </w:r>
      <w:r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630943265004,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условиям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которого  ответчику  предоставлен  займ  в размере 18990,00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срок возврата - 180 дн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предоставления кредитором денежных средств, процентная ставка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284,696</w:t>
      </w:r>
      <w:r w:rsidRPr="00122098" w:rsid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годовых.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 предоставления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займа  перечисление на банковскую  карту (л.д.26-27).</w:t>
      </w:r>
    </w:p>
    <w:p w:rsidR="00175160" w:rsidRPr="00050675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 Карапетян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Г.Э.   от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22.05.2024  об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удержании  суммы  в размере 990,00 рублей  из  подлежащей перечислению   суммы займа  18990,00 рублей  по договору  займа 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NZ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630943265004 от 22.05.2024  в  счет оплаты   услуги – включение  в  список застрахованных  лиц  по  Программе  добровольного  коллективного  страхования от несчастного  случая  № К15-МФК-2019 от 14.06.2019,  заключенным  между страхователем  МФК «ЦФП» (ПАО) и  страховщиком  АО «Д2Страхование» ( л.д. 25)</w:t>
      </w:r>
    </w:p>
    <w:p w:rsidR="008B5623" w:rsidP="008B56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 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новации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V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630943265004 от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8.07.2024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первоначальное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обязательство по договору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630943265004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22.05.2024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заменено на обязательство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Карапетян  Г.Э.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"ЦФП"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 18990,00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 проценты в соответствии с договором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630943265005 от 08.07.2024 ( пункт  3)  С  момент  подписания Соглашения  первоначальное обязательство   клиента  прекращается  полностью путем  возникновения  нового обязательства (пункт 4)  ( л.д. 20)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623" w:rsidP="008B56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содержания договора </w:t>
      </w:r>
      <w:r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630943265005 от 08.07.2024,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 между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МКК «ЦФП» (ПАО) и  Карапетян  Г.Э.  следует, что   последнему предоставлен  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  в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18990,00  рублей,   срок  возврата  займа   180 день  с  момента  предоставления  денежных  средств,   процентная ставка  285,039% годовых,  способ  предоставления займа –новая денежного обязательства по договору  потребительского займа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NZ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630943265005 от 08.07.2024  через  соглашение   о новации  №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630943265004 от 08.07.2024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между кредитором  и  заемщиком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62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Пунктом 12 Индивидуальных условий установлена ответственность заемщика за ненадлежащее исполнение условий договора в виде уплаты неустойки в размере 20% годовых от суммы просроченной задолженности</w:t>
      </w:r>
      <w:r w:rsidRPr="008B56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( л.д. 15-16)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денежных средств и уплата процентов осуществляются платежами в размере 6286,00 руб. каждый в соответствии с графиком погашений,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полного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погашения  займа 06.01.2025 ( л.д. 22)</w:t>
      </w:r>
      <w:r w:rsidRPr="008B56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обязательства по своевременному погашению кредита по договору исполняет ненадлежащим образом, образовалась просроченная задолженность.</w:t>
      </w:r>
    </w:p>
    <w:p w:rsidR="00CF572F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4" w:anchor="/document/10164072/entry/414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414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 кодекса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обязательство прекращается соглашением сторон о замене первоначального обязательства,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существовавшего между ними, другим обязательством между теми же лицами (новация), если иное не установлено законом или не вытекает из существа отношений. Новация прекращает дополнительные обязательства, связанные с первоначальным обязательством, если иное не</w:t>
      </w:r>
      <w:r w:rsidRP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 соглашением </w:t>
      </w:r>
    </w:p>
    <w:p w:rsidR="008B5623" w:rsidRPr="008B5623" w:rsidP="00CF5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4" w:anchor="/document/74263514/entry/22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22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постановления Пленума Верховного Суда РФ от 11.06.2020 </w:t>
      </w:r>
      <w:r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"О некоторых вопросах применения положений </w:t>
      </w:r>
      <w:hyperlink r:id="rId4" w:anchor="/document/10164072/entry/0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кодекса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 прекращении обязательств" разъяснено, что обязательство прекращается новацией, если воля сторон определенно направлена на замену существовавшего между ними первоначального обязательства другим обязательством (</w:t>
      </w:r>
      <w:hyperlink r:id="rId4" w:anchor="/document/10164072/entry/414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414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ГК РФ). Новация имеет место, если стороны согласовали новый предмет и (или) основание обязательства. Соглашение о замене первоначального обязательства другим может быть сформулировано, в частности, путем указания на обязанность должника предоставить только новое исполнение и (или) право кредитора потребовать только такое исполнение. Соглашение сторон, уточняющее или определяющее размер долга и (или) срок исполнения обязательства без изменения предмета и основания возникновения обязательства, само по себе новацией не является.</w:t>
      </w:r>
    </w:p>
    <w:p w:rsidR="008B5623" w:rsidRPr="008B5623" w:rsidP="008B56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 новации договорного обязательства должник по такому обязательству не лишается прав на возражения и иные способы защиты, предусмотренные </w:t>
      </w:r>
      <w:hyperlink r:id="rId4" w:anchor="/document/10164072/entry/328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328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ГК РФ,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приостановление своего исполнения (</w:t>
      </w:r>
      <w:hyperlink r:id="rId4" w:anchor="/document/10164072/entry/3282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 статьи 328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ГК РФ) (пункт 23).</w:t>
      </w:r>
    </w:p>
    <w:p w:rsidR="008B5623" w:rsidRPr="00122098" w:rsidP="00CF57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приведенных разъяснений следует, что стороны могут заменить договором займа существовавшие между ними обязательства, если воля сторон определенно направлена на замену первоначального обязательства другим обязательством, и это обстоятельство само по себе не может служить основанием для признания такого договора займа безденежным.</w:t>
      </w:r>
    </w:p>
    <w:p w:rsidR="00122098" w:rsidRPr="00122098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4" w:anchor="/document/10164072/entry/310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ст.310</w:t>
        </w:r>
      </w:hyperlink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Гражданского кодекса РФ односторонний отказ от исполнения обязательств и одностороннее изменение его условий не допускается, за исключением случаев, предусмотренных законом.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 (</w:t>
      </w:r>
      <w:hyperlink r:id="rId4" w:anchor="/document/10164072/entry/309" w:history="1">
        <w:r w:rsidRPr="00050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ст.309</w:t>
        </w:r>
      </w:hyperlink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Гражданского кодекса РФ).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 </w:t>
      </w:r>
      <w:hyperlink r:id="rId4" w:anchor="/document/10164072/entry/20819" w:history="1">
        <w:r w:rsidRPr="00050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819</w:t>
        </w:r>
      </w:hyperlink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Гражданского кодекса РФ по договору займа банк или иная кредитная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уплатить проценты на неё.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" w:anchor="/document/10164072/entry/8071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 ст. 807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кодекса РФ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 </w:t>
      </w:r>
      <w:hyperlink r:id="rId4" w:anchor="/document/10164072/entry/810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810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кодекса РФ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заемщик обязан возвратить заимодавцу полученную сумму займа в срок и в порядке, которые предусмотрены договором займа. Если иное не предусмотрено договором займа, сумма займа считается возвращенной в момент передачи ее заимодавцу или зачисления соответствующих денежных средств на его банковский счет.</w:t>
      </w:r>
    </w:p>
    <w:p w:rsidR="008B5623" w:rsidRPr="008B5623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 </w:t>
      </w:r>
      <w:hyperlink r:id="rId4" w:anchor="/document/10164072/entry/809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809</w:t>
        </w:r>
      </w:hyperlink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кодекса РФ </w:t>
      </w:r>
      <w:r w:rsidRPr="008B56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</w:t>
      </w:r>
    </w:p>
    <w:p w:rsidR="00122098" w:rsidRPr="00122098" w:rsidP="008B56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4" w:anchor="/document/10164072/entry/330" w:history="1">
        <w:r w:rsidRPr="008B56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330</w:t>
        </w:r>
      </w:hyperlink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ГК РФ,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представленного расчёта, за период с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08.07.2024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18.05.2025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задолженности по договору займа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Z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630943265005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08.07.2024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43677,00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 которых: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18990,00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- основной долг,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24687,00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( л.д.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12)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расчёт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МКК «ЦФП» (ПАО) 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в порядке </w:t>
      </w:r>
      <w:hyperlink r:id="rId4" w:anchor="/document/12128809/entry/56" w:history="1">
        <w:r w:rsidRPr="00050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ст.56</w:t>
        </w:r>
      </w:hyperlink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ГПК РФ не оспорен,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контррасчёт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представлен, расчёт проверен судом и признан арифметически верным.</w:t>
      </w:r>
    </w:p>
    <w:p w:rsidR="00122098" w:rsidRPr="00050675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Определением мирового судьи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Когалымского  судебного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Ханты-Мансийского  автономного округа - Югры  от 25.04.2025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судебный приказ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2-726-1703/2025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15.04.2025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 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МКК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"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22098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050675"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Карапетян  Г.Э. </w:t>
      </w:r>
      <w:r w:rsidRPr="00122098"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займа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08.07.2024 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</w:t>
      </w:r>
      <w:r w:rsidR="00CF57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 поступивших  возражений относительно  его исполнения</w:t>
      </w:r>
      <w:r w:rsidRPr="00050675" w:rsidR="009C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л.д. 30)</w:t>
      </w: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AD6" w:rsidRPr="00050675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 ПАО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«МТС»   от 26.02.2026   сотовый телефон   на который  направлялись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СМС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–сообщения  при заключении договора займа,  по  состоянию  на  22.05.2024  принадлежал  Карапетян  Г.Э. ( л.д. 54) </w:t>
      </w:r>
    </w:p>
    <w:p w:rsidR="00050675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  АО «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Альфа-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подтверждается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зачисления  22.05.2024   денежных  средств  на банковскую  карту, принадлежащую  Карапетян  Г.Э.  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 средств</w:t>
      </w:r>
      <w:r w:rsidRPr="0005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18000,00 рублей,  что  свидетельствует из  выписки  по  счету  (л.д. 59) 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учитывая установленный судебным разбирательством факт заключения договора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займа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получения суммы займа ответчиком,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 также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ненадлежащего исполнения заёмщиком принятых на себя обязательств, суд полагает подлежащими удовлетворению требования истца о взыскании с ответчика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Карапетян  Г.Э.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суммы задолженности по договору займа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</w:t>
      </w:r>
      <w:r w:rsidRPr="00122098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Z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630943265005</w:t>
      </w:r>
      <w:r w:rsidRPr="00122098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08.07.2024</w:t>
      </w:r>
      <w:r w:rsidRPr="00122098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размере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43677,00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рублей, из которых: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18990,00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рублей - основной долг,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24687,00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рублей 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проценты</w:t>
      </w:r>
      <w:r w:rsidRPr="00050675" w:rsidR="009C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  пользование займом за  период  с 08.07.2024  по  18.05.2025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Согласно </w:t>
      </w:r>
      <w:hyperlink r:id="rId4" w:anchor="/document/12128809/entry/981" w:history="1">
        <w:r w:rsidRPr="000506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ч.1 ст. 98</w:t>
        </w:r>
      </w:hyperlink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Гражданского процессуального кодекса РФ стороне, в пользу которой состоялось решение суда, суд присуждает возместить с другой стороны все понесённые по делу судебные расходы.</w:t>
      </w:r>
    </w:p>
    <w:p w:rsidR="00122098" w:rsidRPr="00122098" w:rsidP="00050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Таким образом, расходы по уплате государственной пошлины в размере 4000 рублей по платёжным поручениям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 53942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19.05.2025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сумме 2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00 рублей,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30298 от 27.02.2025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сумму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2000,00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рублей </w:t>
      </w:r>
      <w:r w:rsidRPr="00050675" w:rsidR="000506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(л.д. 13-14) </w:t>
      </w:r>
      <w:r w:rsidRPr="0012209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подлежат взысканию с ответчика в пользу истца.</w:t>
      </w:r>
    </w:p>
    <w:p w:rsidR="001C102F" w:rsidRPr="00050675" w:rsidP="00050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 изложенного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50675">
        <w:rPr>
          <w:rFonts w:ascii="Times New Roman" w:hAnsi="Times New Roman" w:cs="Times New Roman"/>
          <w:sz w:val="28"/>
          <w:szCs w:val="28"/>
        </w:rPr>
        <w:t>уководствуясь ст. ст. 56, 167, 194-198, 199, 234-235 Гражданского процессуального кодекса Российской Федерации, суд</w:t>
      </w:r>
    </w:p>
    <w:p w:rsidR="001C102F" w:rsidRPr="00050675" w:rsidP="00050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02F" w:rsidRPr="00050675" w:rsidP="0005067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 w:rsidRPr="00050675">
        <w:rPr>
          <w:sz w:val="28"/>
          <w:szCs w:val="28"/>
        </w:rPr>
        <w:tab/>
      </w:r>
      <w:r w:rsidRPr="00050675">
        <w:rPr>
          <w:sz w:val="28"/>
          <w:szCs w:val="28"/>
        </w:rPr>
        <w:tab/>
      </w:r>
      <w:r w:rsidRPr="00050675">
        <w:rPr>
          <w:sz w:val="28"/>
          <w:szCs w:val="28"/>
        </w:rPr>
        <w:tab/>
      </w:r>
      <w:r w:rsidRPr="00050675">
        <w:rPr>
          <w:sz w:val="28"/>
          <w:szCs w:val="28"/>
        </w:rPr>
        <w:tab/>
      </w:r>
      <w:r w:rsidRPr="00050675">
        <w:rPr>
          <w:sz w:val="28"/>
          <w:szCs w:val="28"/>
        </w:rPr>
        <w:tab/>
        <w:t>РЕШИЛ:</w:t>
      </w:r>
    </w:p>
    <w:p w:rsidR="001C102F" w:rsidRPr="00050675" w:rsidP="0005067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1C102F" w:rsidRPr="00050675" w:rsidP="00050675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050675">
        <w:rPr>
          <w:sz w:val="28"/>
          <w:szCs w:val="28"/>
        </w:rPr>
        <w:t xml:space="preserve"> </w:t>
      </w:r>
      <w:r w:rsidRPr="00050675">
        <w:rPr>
          <w:sz w:val="28"/>
          <w:szCs w:val="28"/>
        </w:rPr>
        <w:tab/>
        <w:t xml:space="preserve">Исковые требования  </w:t>
      </w:r>
      <w:r w:rsidRPr="00050675" w:rsidR="00122098">
        <w:rPr>
          <w:sz w:val="28"/>
          <w:szCs w:val="28"/>
        </w:rPr>
        <w:t xml:space="preserve"> Микрокредитной компании «</w:t>
      </w:r>
      <w:r w:rsidRPr="00050675" w:rsidR="00122098">
        <w:rPr>
          <w:sz w:val="28"/>
          <w:szCs w:val="28"/>
        </w:rPr>
        <w:t>Центр  Финансовой</w:t>
      </w:r>
      <w:r w:rsidRPr="00050675" w:rsidR="00122098">
        <w:rPr>
          <w:sz w:val="28"/>
          <w:szCs w:val="28"/>
        </w:rPr>
        <w:t xml:space="preserve"> Поддержки» (публичное акционерное общество)</w:t>
      </w:r>
      <w:r w:rsidRPr="00050675">
        <w:rPr>
          <w:sz w:val="28"/>
          <w:szCs w:val="28"/>
        </w:rPr>
        <w:t xml:space="preserve"> к Карапетян </w:t>
      </w:r>
      <w:r w:rsidRPr="00050675">
        <w:rPr>
          <w:sz w:val="28"/>
          <w:szCs w:val="28"/>
        </w:rPr>
        <w:t>Гарнику</w:t>
      </w:r>
      <w:r w:rsidRPr="00050675">
        <w:rPr>
          <w:sz w:val="28"/>
          <w:szCs w:val="28"/>
        </w:rPr>
        <w:t xml:space="preserve"> </w:t>
      </w:r>
      <w:r w:rsidRPr="00050675">
        <w:rPr>
          <w:sz w:val="28"/>
          <w:szCs w:val="28"/>
        </w:rPr>
        <w:t>Энзеловичу</w:t>
      </w:r>
      <w:r w:rsidRPr="00050675"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1C102F" w:rsidRPr="00050675" w:rsidP="00050675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 w:rsidRPr="00050675">
        <w:rPr>
          <w:sz w:val="28"/>
          <w:szCs w:val="28"/>
        </w:rPr>
        <w:t xml:space="preserve">Взыскать с Карапетян  </w:t>
      </w:r>
      <w:r w:rsidRPr="00050675">
        <w:rPr>
          <w:sz w:val="28"/>
          <w:szCs w:val="28"/>
        </w:rPr>
        <w:t>Гарника</w:t>
      </w:r>
      <w:r w:rsidRPr="00050675">
        <w:rPr>
          <w:sz w:val="28"/>
          <w:szCs w:val="28"/>
        </w:rPr>
        <w:t xml:space="preserve"> </w:t>
      </w:r>
      <w:r w:rsidRPr="00050675">
        <w:rPr>
          <w:sz w:val="28"/>
          <w:szCs w:val="28"/>
        </w:rPr>
        <w:t>Энзеловича</w:t>
      </w:r>
      <w:r w:rsidRPr="00050675">
        <w:rPr>
          <w:sz w:val="28"/>
          <w:szCs w:val="28"/>
        </w:rPr>
        <w:t xml:space="preserve">, </w:t>
      </w:r>
      <w:r w:rsidR="003E2EED">
        <w:rPr>
          <w:sz w:val="28"/>
          <w:szCs w:val="28"/>
        </w:rPr>
        <w:t>*</w:t>
      </w:r>
      <w:r w:rsidRPr="00050675">
        <w:rPr>
          <w:sz w:val="28"/>
          <w:szCs w:val="28"/>
        </w:rPr>
        <w:t xml:space="preserve">в пользу  </w:t>
      </w:r>
      <w:r w:rsidRPr="00050675" w:rsidR="00122098">
        <w:rPr>
          <w:sz w:val="28"/>
          <w:szCs w:val="28"/>
        </w:rPr>
        <w:t xml:space="preserve">Микрокредитной компании «Центр  Финансовой Поддержки» (публичное акционерное общество)  </w:t>
      </w:r>
      <w:r w:rsidRPr="00050675">
        <w:rPr>
          <w:sz w:val="28"/>
          <w:szCs w:val="28"/>
        </w:rPr>
        <w:t xml:space="preserve"> (ИНН </w:t>
      </w:r>
      <w:r w:rsidRPr="00050675" w:rsidR="00122098">
        <w:rPr>
          <w:sz w:val="28"/>
          <w:szCs w:val="28"/>
        </w:rPr>
        <w:t>7727480641</w:t>
      </w:r>
      <w:r w:rsidRPr="00050675">
        <w:rPr>
          <w:sz w:val="28"/>
          <w:szCs w:val="28"/>
        </w:rPr>
        <w:t xml:space="preserve"> ОГРН 12177000</w:t>
      </w:r>
      <w:r w:rsidRPr="00050675" w:rsidR="00122098">
        <w:rPr>
          <w:sz w:val="28"/>
          <w:szCs w:val="28"/>
        </w:rPr>
        <w:t>621709</w:t>
      </w:r>
      <w:r w:rsidRPr="00050675">
        <w:rPr>
          <w:sz w:val="28"/>
          <w:szCs w:val="28"/>
        </w:rPr>
        <w:t xml:space="preserve">) задолженность по договору займа от </w:t>
      </w:r>
      <w:r w:rsidRPr="00050675" w:rsidR="00122098">
        <w:rPr>
          <w:sz w:val="28"/>
          <w:szCs w:val="28"/>
        </w:rPr>
        <w:t xml:space="preserve">08.07.2024 </w:t>
      </w:r>
      <w:r w:rsidRPr="00050675">
        <w:rPr>
          <w:sz w:val="28"/>
          <w:szCs w:val="28"/>
        </w:rPr>
        <w:t xml:space="preserve"> №</w:t>
      </w:r>
      <w:r w:rsidRPr="00050675" w:rsidR="00122098">
        <w:rPr>
          <w:sz w:val="28"/>
          <w:szCs w:val="28"/>
          <w:lang w:val="en-US"/>
        </w:rPr>
        <w:t>Z</w:t>
      </w:r>
      <w:r w:rsidRPr="00050675" w:rsidR="00122098">
        <w:rPr>
          <w:sz w:val="28"/>
          <w:szCs w:val="28"/>
        </w:rPr>
        <w:t>630943265005</w:t>
      </w:r>
      <w:r w:rsidRPr="00050675">
        <w:rPr>
          <w:sz w:val="28"/>
          <w:szCs w:val="28"/>
        </w:rPr>
        <w:t xml:space="preserve"> в размере </w:t>
      </w:r>
      <w:r w:rsidRPr="00050675" w:rsidR="00122098">
        <w:rPr>
          <w:sz w:val="28"/>
          <w:szCs w:val="28"/>
        </w:rPr>
        <w:t>43677</w:t>
      </w:r>
      <w:r w:rsidRPr="00050675">
        <w:rPr>
          <w:sz w:val="28"/>
          <w:szCs w:val="28"/>
        </w:rPr>
        <w:t xml:space="preserve"> (</w:t>
      </w:r>
      <w:r w:rsidRPr="00050675" w:rsidR="00122098">
        <w:rPr>
          <w:sz w:val="28"/>
          <w:szCs w:val="28"/>
        </w:rPr>
        <w:t>сорок три</w:t>
      </w:r>
      <w:r w:rsidRPr="00050675">
        <w:rPr>
          <w:sz w:val="28"/>
          <w:szCs w:val="28"/>
        </w:rPr>
        <w:t xml:space="preserve"> тысячи </w:t>
      </w:r>
      <w:r w:rsidRPr="00050675" w:rsidR="00122098">
        <w:rPr>
          <w:sz w:val="28"/>
          <w:szCs w:val="28"/>
        </w:rPr>
        <w:t>шестьсот  семьдесят семь</w:t>
      </w:r>
      <w:r w:rsidRPr="00050675">
        <w:rPr>
          <w:sz w:val="28"/>
          <w:szCs w:val="28"/>
        </w:rPr>
        <w:t xml:space="preserve">) рублей  00 копеек, в том  числе  задолженность  по основному долгу </w:t>
      </w:r>
      <w:r w:rsidRPr="00050675" w:rsidR="00050675">
        <w:rPr>
          <w:sz w:val="28"/>
          <w:szCs w:val="28"/>
        </w:rPr>
        <w:t xml:space="preserve">за  период  с 08.07.2024  по 18.05.2025 </w:t>
      </w:r>
      <w:r w:rsidRPr="00050675">
        <w:rPr>
          <w:sz w:val="28"/>
          <w:szCs w:val="28"/>
        </w:rPr>
        <w:t xml:space="preserve"> в размере </w:t>
      </w:r>
      <w:r w:rsidRPr="00050675" w:rsidR="00122098">
        <w:rPr>
          <w:sz w:val="28"/>
          <w:szCs w:val="28"/>
        </w:rPr>
        <w:t>18990</w:t>
      </w:r>
      <w:r w:rsidRPr="00050675">
        <w:rPr>
          <w:sz w:val="28"/>
          <w:szCs w:val="28"/>
        </w:rPr>
        <w:t xml:space="preserve">,00 рублей,   задолженность  по  процентам  за  пользование займом  за период  с  </w:t>
      </w:r>
      <w:r w:rsidRPr="00050675" w:rsidR="00122098">
        <w:rPr>
          <w:sz w:val="28"/>
          <w:szCs w:val="28"/>
        </w:rPr>
        <w:t>08.07</w:t>
      </w:r>
      <w:r w:rsidRPr="00050675">
        <w:rPr>
          <w:sz w:val="28"/>
          <w:szCs w:val="28"/>
        </w:rPr>
        <w:t xml:space="preserve">.2024 по </w:t>
      </w:r>
      <w:r w:rsidRPr="00050675" w:rsidR="00122098">
        <w:rPr>
          <w:sz w:val="28"/>
          <w:szCs w:val="28"/>
        </w:rPr>
        <w:t>18.05</w:t>
      </w:r>
      <w:r w:rsidRPr="00050675">
        <w:rPr>
          <w:sz w:val="28"/>
          <w:szCs w:val="28"/>
        </w:rPr>
        <w:t xml:space="preserve">.2025  в размере </w:t>
      </w:r>
      <w:r w:rsidRPr="00050675" w:rsidR="00122098">
        <w:rPr>
          <w:sz w:val="28"/>
          <w:szCs w:val="28"/>
        </w:rPr>
        <w:t>24687,00</w:t>
      </w:r>
      <w:r w:rsidRPr="00050675">
        <w:rPr>
          <w:sz w:val="28"/>
          <w:szCs w:val="28"/>
        </w:rPr>
        <w:t xml:space="preserve"> рублей,  а также расходы по оплате государственной пошлины в размере 4000,00  рублей. </w:t>
      </w:r>
    </w:p>
    <w:p w:rsidR="001C102F" w:rsidRPr="00050675" w:rsidP="000506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75">
        <w:rPr>
          <w:rFonts w:ascii="Times New Roman" w:hAnsi="Times New Roman" w:cs="Times New Roman"/>
          <w:sz w:val="28"/>
          <w:szCs w:val="28"/>
        </w:rPr>
        <w:tab/>
      </w:r>
      <w:r w:rsidRPr="00050675"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102F" w:rsidRPr="00050675" w:rsidP="00050675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675"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C102F" w:rsidRPr="00050675" w:rsidP="0005067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50675"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050675"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1C102F" w:rsidP="001C10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C102F" w:rsidP="001C10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F572F" w:rsidP="001C10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Филяева Е.М.</w:t>
      </w:r>
    </w:p>
    <w:p w:rsidR="00CF572F" w:rsidP="001C10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C102F" w:rsidP="001C102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Подлинник заочного </w:t>
      </w:r>
      <w:r>
        <w:rPr>
          <w:rFonts w:ascii="Times New Roman" w:hAnsi="Times New Roman" w:cs="Times New Roman"/>
          <w:sz w:val="18"/>
          <w:szCs w:val="18"/>
        </w:rPr>
        <w:t>решения  подшит</w:t>
      </w:r>
      <w:r>
        <w:rPr>
          <w:rFonts w:ascii="Times New Roman" w:hAnsi="Times New Roman" w:cs="Times New Roman"/>
          <w:sz w:val="18"/>
          <w:szCs w:val="18"/>
        </w:rPr>
        <w:t xml:space="preserve">  в  материалах гражданского   дела  № 2-321-1703/2026  судебного  участка № 3 Когалымского  судебного района  Ханты-Мансийского  автономного округа –Югры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Sect="00CF572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B3"/>
    <w:rsid w:val="00050675"/>
    <w:rsid w:val="00122098"/>
    <w:rsid w:val="00175160"/>
    <w:rsid w:val="001C102F"/>
    <w:rsid w:val="003E2EED"/>
    <w:rsid w:val="00422BCD"/>
    <w:rsid w:val="004509B3"/>
    <w:rsid w:val="008B5623"/>
    <w:rsid w:val="009C7AD6"/>
    <w:rsid w:val="00CF572F"/>
    <w:rsid w:val="00E3780D"/>
    <w:rsid w:val="00ED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B88109-C904-4165-8C03-029A6C2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02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C102F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rsid w:val="001C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220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2209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F5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5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